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Calibri" w:cs="Calibri" w:eastAsia="Calibri" w:hAnsi="Calibri"/>
          <w:b/>
          <w:bCs/>
          <w:caps/>
          <w:color w:val="1A56DB"/>
          <w:sz w:val="18"/>
          <w:szCs w:val="18"/>
        </w:rPr>
        <w:t xml:space="preserve">PRAXIS-GUIDE  ·  EU AI ACT  ·  WORDPRESS</w:t>
      </w:r>
    </w:p>
    <w:p>
      <w:pPr>
        <w:pStyle w:val="Heading1"/>
        <w:spacing w:after="120" w:before="0"/>
      </w:pPr>
      <w:r>
        <w:rPr>
          <w:rFonts w:ascii="Calibri" w:cs="Calibri" w:eastAsia="Calibri" w:hAnsi="Calibri"/>
          <w:b/>
          <w:bCs/>
          <w:color w:val="1A1A2E"/>
          <w:sz w:val="44"/>
          <w:szCs w:val="44"/>
        </w:rPr>
        <w:t xml:space="preserve">EU AI Act: Was WordPress-Betreiber bis August 2026 umsetzen müssen</w:t>
      </w:r>
    </w:p>
    <w:p>
      <w:pPr>
        <w:spacing w:after="320" w:before="0"/>
      </w:pPr>
      <w:r>
        <w:rPr>
          <w:rFonts w:ascii="Calibri" w:cs="Calibri" w:eastAsia="Calibri" w:hAnsi="Calibri"/>
          <w:color w:val="6B7280"/>
          <w:sz w:val="20"/>
          <w:szCs w:val="20"/>
        </w:rPr>
        <w:t xml:space="preserve">Von rmall.de  ·  Mai 2026  ·  Lesedauer: ca. 8 Minuten</w:t>
      </w:r>
    </w:p>
    <w:p>
      <w:pPr>
        <w:pBdr>
          <w:bottom w:val="single" w:color="CCCCCC" w:sz="4" w:space="1"/>
        </w:pBdr>
        <w:spacing w:after="240" w:before="0"/>
      </w:pPr>
    </w:p>
    <w:p>
      <w:pPr>
        <w:spacing w:after="200" w:before="0" w:line="360" w:lineRule="auto"/>
        <w:jc w:val="both"/>
      </w:pPr>
      <w:r>
        <w:rPr>
          <w:rFonts w:ascii="Georgia" w:cs="Georgia" w:eastAsia="Georgia" w:hAnsi="Georgia"/>
          <w:i/>
          <w:iCs/>
          <w:color w:val="374151"/>
          <w:sz w:val="26"/>
          <w:szCs w:val="26"/>
        </w:rPr>
        <w:t xml:space="preserve">Der EU AI Act ist in Kraft — und die Uhr tickt. Ab dem 2. August 2026 gelten verbindliche Kennzeichnungspflichten für KI-Inhalte und Transparenzpflichten für Chatbots. Für WordPress-Betreiber bedeutet das: Wer jetzt handelt, vermeidet Bußgelder bis zu 35 Millionen Euro und gewinnt Vertrauen bei seinen Nutzern.</w:t>
      </w:r>
    </w:p>
    <w:p>
      <w:pPr>
        <w:spacing w:after="8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1A56DB" w:sz="8"/>
              <w:bottom w:val="single" w:color="CCCCCC" w:sz="1"/>
              <w:right w:val="none" w:color="FFFFFF" w:sz="0"/>
            </w:tcBorders>
            <w:shd w:fill="EBF2FF" w:val="clear"/>
            <w:tcMar>
              <w:top w:type="dxa" w:w="140"/>
              <w:left w:type="dxa" w:w="180"/>
              <w:bottom w:type="dxa" w:w="140"/>
              <w:right w:type="dxa" w:w="80"/>
            </w:tcMar>
          </w:tcPr>
          <w:p>
            <w:r>
              <w:rPr>
                <w:sz w:val="28"/>
                <w:szCs w:val="28"/>
              </w:rPr>
              <w:t xml:space="preserve">💡</w:t>
            </w:r>
          </w:p>
        </w:tc>
        <w:tc>
          <w:tcPr>
            <w:tcW w:type="dxa" w:w="8426"/>
            <w:tcBorders>
              <w:top w:val="single" w:color="CCCCCC" w:sz="1"/>
              <w:left w:val="none" w:color="FFFFFF" w:sz="0"/>
              <w:bottom w:val="single" w:color="CCCCCC" w:sz="1"/>
              <w:right w:val="single" w:color="CCCCCC" w:sz="1"/>
            </w:tcBorders>
            <w:shd w:fill="EBF2FF" w:val="clear"/>
            <w:tcMar>
              <w:top w:type="dxa" w:w="140"/>
              <w:left w:type="dxa" w:w="140"/>
              <w:bottom w:type="dxa" w:w="140"/>
              <w:right w:type="dxa" w:w="200"/>
            </w:tcMar>
          </w:tcPr>
          <w:p>
            <w:pPr>
              <w:spacing w:after="80" w:before="0"/>
            </w:pPr>
            <w:r>
              <w:rPr>
                <w:rFonts w:ascii="Calibri" w:cs="Calibri" w:eastAsia="Calibri" w:hAnsi="Calibri"/>
                <w:b/>
                <w:bCs/>
                <w:color w:val="1A56DB"/>
                <w:sz w:val="23"/>
                <w:szCs w:val="23"/>
              </w:rPr>
              <w:t xml:space="preserve">Das Wichtigste in Kürze</w:t>
            </w:r>
          </w:p>
          <w:p>
            <w:pPr>
              <w:spacing w:after="0" w:before="0" w:line="320" w:lineRule="auto"/>
            </w:pPr>
            <w:r>
              <w:rPr>
                <w:rFonts w:ascii="Georgia" w:cs="Georgia" w:eastAsia="Georgia" w:hAnsi="Georgia"/>
                <w:color w:val="374151"/>
                <w:sz w:val="22"/>
                <w:szCs w:val="22"/>
              </w:rPr>
              <w:t xml:space="preserve">Dieser Artikel erklärt, welche Pflichten den EU AI Act konkret betreffen, was technisch auf deiner WordPress-Website umgesetzt werden muss — und wie du das mit dem kostenlosen Plugin "EU AI Act Compliance" in wenigen Minuten erledigst.</w:t>
            </w:r>
          </w:p>
        </w:tc>
      </w:tr>
    </w:tbl>
    <w:p>
      <w:pPr>
        <w:spacing w:after="240" w:before="0"/>
      </w:pPr>
    </w:p>
    <w:p>
      <w:pPr>
        <w:pStyle w:val="Heading2"/>
        <w:spacing w:after="160" w:before="400"/>
      </w:pPr>
      <w:r>
        <w:rPr>
          <w:rFonts w:ascii="Calibri" w:cs="Calibri" w:eastAsia="Calibri" w:hAnsi="Calibri"/>
          <w:b/>
          <w:bCs/>
          <w:color w:val="1A1A2E"/>
          <w:sz w:val="32"/>
          <w:szCs w:val="32"/>
        </w:rPr>
        <w:t xml:space="preserve">1. Warum der EU AI Act auch deine WordPress-Site betrifft</w:t>
      </w:r>
    </w:p>
    <w:p>
      <w:pPr>
        <w:spacing w:after="160" w:before="0" w:line="340" w:lineRule="auto"/>
        <w:jc w:val="both"/>
      </w:pPr>
      <w:r>
        <w:rPr>
          <w:rFonts w:ascii="Georgia" w:cs="Georgia" w:eastAsia="Georgia" w:hAnsi="Georgia"/>
          <w:color w:val="374151"/>
          <w:sz w:val="24"/>
          <w:szCs w:val="24"/>
        </w:rPr>
        <w:t xml:space="preserve">Viele WordPress-Betreiber glauben, der EU AI Act sei nur für große Technologieunternehmen relevant. Das ist ein Irrtum. Die Verordnung gilt für alle Unternehmen und Selbstständigen in der EU, die KI-Systeme einsetzen oder KI-generierte Inhalte veröffentlichen — unabhängig von der Unternehmensgröße.</w:t>
      </w:r>
    </w:p>
    <w:p>
      <w:pPr>
        <w:spacing w:after="160" w:before="0" w:line="340" w:lineRule="auto"/>
        <w:jc w:val="both"/>
      </w:pPr>
      <w:r>
        <w:rPr>
          <w:rFonts w:ascii="Georgia" w:cs="Georgia" w:eastAsia="Georgia" w:hAnsi="Georgia"/>
          <w:color w:val="374151"/>
          <w:sz w:val="24"/>
          <w:szCs w:val="24"/>
        </w:rPr>
        <w:t xml:space="preserve">Konkret: Wer auf seiner Website einen KI-Chatbot betreibt, KI-generierte Bilder verwendet oder Texte mit Hilfe von Werkzeugen wie ChatGPT, Claude oder ähnlichen Systemen erstellt und veröffentlicht, fällt unter den Anwendungsbereich der Verordnung.</w:t>
      </w:r>
    </w:p>
    <w:p>
      <w:pPr>
        <w:spacing w:after="160" w:before="0" w:line="340" w:lineRule="auto"/>
        <w:jc w:val="both"/>
      </w:pPr>
      <w:r>
        <w:rPr>
          <w:rFonts w:ascii="Georgia" w:cs="Georgia" w:eastAsia="Georgia" w:hAnsi="Georgia"/>
          <w:b/>
          <w:bCs/>
          <w:color w:val="374151"/>
          <w:sz w:val="24"/>
          <w:szCs w:val="24"/>
        </w:rPr>
        <w:t xml:space="preserve">Das ist keine Zukunftsmusik. </w:t>
      </w:r>
      <w:r>
        <w:rPr>
          <w:rFonts w:ascii="Georgia" w:cs="Georgia" w:eastAsia="Georgia" w:hAnsi="Georgia"/>
          <w:color w:val="374151"/>
          <w:sz w:val="24"/>
          <w:szCs w:val="24"/>
        </w:rPr>
        <w:t xml:space="preserve">Erste Pflichten — insbesondere das Verbot manipulativer KI-Praktiken und die AI-Literacy-Pflicht für Mitarbeiter — gelten bereits seit dem 2. Februar 2025. Die für die meisten Website-Betreiber relevanten Kennzeichnungs- und Transparenzpflichten greifen ab dem </w:t>
      </w:r>
      <w:r>
        <w:rPr>
          <w:rFonts w:ascii="Georgia" w:cs="Georgia" w:eastAsia="Georgia" w:hAnsi="Georgia"/>
          <w:b/>
          <w:bCs/>
          <w:color w:val="374151"/>
          <w:sz w:val="24"/>
          <w:szCs w:val="24"/>
        </w:rPr>
        <w:t xml:space="preserve">2. August 2026.</w:t>
      </w:r>
    </w:p>
    <w:p>
      <w:pPr>
        <w:spacing w:after="200" w:before="0"/>
      </w:pPr>
    </w:p>
    <w:p>
      <w:pPr>
        <w:spacing w:after="160" w:before="0"/>
      </w:pPr>
      <w:r>
        <w:rPr>
          <w:rFonts w:ascii="Calibri" w:cs="Calibri" w:eastAsia="Calibri" w:hAnsi="Calibri"/>
          <w:b/>
          <w:bCs/>
          <w:color w:val="1A1A2E"/>
          <w:sz w:val="22"/>
          <w:szCs w:val="22"/>
        </w:rPr>
        <w:t xml:space="preserve">Überblick: Gesetzliche Fristen im EU AI Act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6026"/>
        <w:gridCol w:w="1200"/>
      </w:tblGrid>
      <w:tr>
        <w:tc>
          <w:tcPr>
            <w:tcW w:type="dxa" w:w="18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00"/>
            </w:tcMar>
          </w:tcPr>
          <w:p>
            <w:r>
              <w:rPr>
                <w:rFonts w:ascii="Calibri" w:cs="Calibri" w:eastAsia="Calibri" w:hAnsi="Calibri"/>
                <w:b/>
                <w:bCs/>
                <w:color w:val="FFFFFF"/>
                <w:sz w:val="21"/>
                <w:szCs w:val="21"/>
              </w:rPr>
              <w:t xml:space="preserve">Datum</w:t>
            </w:r>
          </w:p>
        </w:tc>
        <w:tc>
          <w:tcPr>
            <w:tcW w:type="dxa" w:w="6026"/>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00"/>
            </w:tcMar>
          </w:tcPr>
          <w:p>
            <w:r>
              <w:rPr>
                <w:rFonts w:ascii="Calibri" w:cs="Calibri" w:eastAsia="Calibri" w:hAnsi="Calibri"/>
                <w:b/>
                <w:bCs/>
                <w:color w:val="FFFFFF"/>
                <w:sz w:val="21"/>
                <w:szCs w:val="21"/>
              </w:rPr>
              <w:t xml:space="preserve">Regelung</w:t>
            </w:r>
          </w:p>
        </w:tc>
        <w:tc>
          <w:tcPr>
            <w:tcW w:type="dxa" w:w="12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00"/>
            </w:tcMar>
          </w:tcPr>
          <w:p>
            <w:r>
              <w:rPr>
                <w:rFonts w:ascii="Calibri" w:cs="Calibri" w:eastAsia="Calibri" w:hAnsi="Calibri"/>
                <w:b/>
                <w:bCs/>
                <w:color w:val="FFFFFF"/>
                <w:sz w:val="21"/>
                <w:szCs w:val="21"/>
              </w:rPr>
              <w:t xml:space="preserve">Status</w:t>
            </w:r>
          </w:p>
        </w:tc>
      </w:tr>
      <w:tr>
        <w:tc>
          <w:tcPr>
            <w:tcW w:type="dxa" w:w="1800"/>
            <w:tcBorders>
              <w:top w:val="single" w:color="CCCCCC" w:sz="1"/>
              <w:left w:val="single" w:color="CCCCCC" w:sz="1"/>
              <w:bottom w:val="single" w:color="CCCCCC" w:sz="1"/>
              <w:right w:val="single" w:color="CCCCCC" w:sz="1"/>
            </w:tcBorders>
            <w:shd w:fill="F0FDF4" w:val="clear"/>
            <w:tcMar>
              <w:top w:type="dxa" w:w="100"/>
              <w:left w:type="dxa" w:w="140"/>
              <w:bottom w:type="dxa" w:w="100"/>
              <w:right w:type="dxa" w:w="100"/>
            </w:tcMar>
          </w:tcPr>
          <w:p>
            <w:r>
              <w:rPr>
                <w:rFonts w:ascii="Courier New" w:cs="Courier New" w:eastAsia="Courier New" w:hAnsi="Courier New"/>
                <w:b/>
                <w:bCs/>
                <w:color w:val="1A1A2E"/>
                <w:sz w:val="21"/>
                <w:szCs w:val="21"/>
              </w:rPr>
              <w:t xml:space="preserve">02.02.2025</w:t>
            </w:r>
          </w:p>
        </w:tc>
        <w:tc>
          <w:tcPr>
            <w:tcW w:type="dxa" w:w="6026"/>
            <w:tcBorders>
              <w:top w:val="single" w:color="CCCCCC" w:sz="1"/>
              <w:left w:val="single" w:color="CCCCCC" w:sz="1"/>
              <w:bottom w:val="single" w:color="CCCCCC" w:sz="1"/>
              <w:right w:val="single" w:color="CCCCCC" w:sz="1"/>
            </w:tcBorders>
            <w:shd w:fill="F0FDF4" w:val="clear"/>
            <w:tcMar>
              <w:top w:type="dxa" w:w="100"/>
              <w:left w:type="dxa" w:w="140"/>
              <w:bottom w:type="dxa" w:w="100"/>
              <w:right w:type="dxa" w:w="100"/>
            </w:tcMar>
          </w:tcPr>
          <w:p>
            <w:r>
              <w:rPr>
                <w:rFonts w:ascii="Georgia" w:cs="Georgia" w:eastAsia="Georgia" w:hAnsi="Georgia"/>
                <w:color w:val="374151"/>
                <w:sz w:val="21"/>
                <w:szCs w:val="21"/>
              </w:rPr>
              <w:t xml:space="preserve">Verbot manipulativer KI-Systeme + AI-Literacy-Pflicht (Art. 4 &amp; 5)</w:t>
            </w:r>
          </w:p>
        </w:tc>
        <w:tc>
          <w:tcPr>
            <w:tcW w:type="dxa" w:w="1200"/>
            <w:tcBorders>
              <w:top w:val="single" w:color="CCCCCC" w:sz="1"/>
              <w:left w:val="single" w:color="CCCCCC" w:sz="1"/>
              <w:bottom w:val="single" w:color="CCCCCC" w:sz="1"/>
              <w:right w:val="single" w:color="CCCCCC" w:sz="1"/>
            </w:tcBorders>
            <w:shd w:fill="F0FDF4" w:val="clear"/>
            <w:tcMar>
              <w:top w:type="dxa" w:w="100"/>
              <w:left w:type="dxa" w:w="100"/>
              <w:bottom w:type="dxa" w:w="100"/>
              <w:right w:type="dxa" w:w="100"/>
            </w:tcMar>
          </w:tcPr>
          <w:p>
            <w:pPr>
              <w:jc w:val="center"/>
            </w:pPr>
            <w:r>
              <w:rPr>
                <w:rFonts w:ascii="Calibri" w:cs="Calibri" w:eastAsia="Calibri" w:hAnsi="Calibri"/>
                <w:b/>
                <w:bCs/>
                <w:color w:val="057A55"/>
                <w:sz w:val="20"/>
                <w:szCs w:val="20"/>
              </w:rPr>
              <w:t xml:space="preserve">✔ Aktiv</w:t>
            </w:r>
          </w:p>
        </w:tc>
      </w:tr>
      <w:tr>
        <w:tc>
          <w:tcPr>
            <w:tcW w:type="dxa" w:w="1800"/>
            <w:tcBorders>
              <w:top w:val="single" w:color="CCCCCC" w:sz="1"/>
              <w:left w:val="single" w:color="CCCCCC" w:sz="1"/>
              <w:bottom w:val="single" w:color="CCCCCC" w:sz="1"/>
              <w:right w:val="single" w:color="CCCCCC" w:sz="1"/>
            </w:tcBorders>
            <w:shd w:fill="F0FDF4" w:val="clear"/>
            <w:tcMar>
              <w:top w:type="dxa" w:w="100"/>
              <w:left w:type="dxa" w:w="140"/>
              <w:bottom w:type="dxa" w:w="100"/>
              <w:right w:type="dxa" w:w="100"/>
            </w:tcMar>
          </w:tcPr>
          <w:p>
            <w:r>
              <w:rPr>
                <w:rFonts w:ascii="Courier New" w:cs="Courier New" w:eastAsia="Courier New" w:hAnsi="Courier New"/>
                <w:b/>
                <w:bCs/>
                <w:color w:val="1A1A2E"/>
                <w:sz w:val="21"/>
                <w:szCs w:val="21"/>
              </w:rPr>
              <w:t xml:space="preserve">02.08.2025</w:t>
            </w:r>
          </w:p>
        </w:tc>
        <w:tc>
          <w:tcPr>
            <w:tcW w:type="dxa" w:w="6026"/>
            <w:tcBorders>
              <w:top w:val="single" w:color="CCCCCC" w:sz="1"/>
              <w:left w:val="single" w:color="CCCCCC" w:sz="1"/>
              <w:bottom w:val="single" w:color="CCCCCC" w:sz="1"/>
              <w:right w:val="single" w:color="CCCCCC" w:sz="1"/>
            </w:tcBorders>
            <w:shd w:fill="F0FDF4" w:val="clear"/>
            <w:tcMar>
              <w:top w:type="dxa" w:w="100"/>
              <w:left w:type="dxa" w:w="140"/>
              <w:bottom w:type="dxa" w:w="100"/>
              <w:right w:type="dxa" w:w="100"/>
            </w:tcMar>
          </w:tcPr>
          <w:p>
            <w:r>
              <w:rPr>
                <w:rFonts w:ascii="Georgia" w:cs="Georgia" w:eastAsia="Georgia" w:hAnsi="Georgia"/>
                <w:color w:val="374151"/>
                <w:sz w:val="21"/>
                <w:szCs w:val="21"/>
              </w:rPr>
              <w:t xml:space="preserve">GPAI-Regeln für Basis-Modelle (ChatGPT, Claude etc.) + Governance</w:t>
            </w:r>
          </w:p>
        </w:tc>
        <w:tc>
          <w:tcPr>
            <w:tcW w:type="dxa" w:w="1200"/>
            <w:tcBorders>
              <w:top w:val="single" w:color="CCCCCC" w:sz="1"/>
              <w:left w:val="single" w:color="CCCCCC" w:sz="1"/>
              <w:bottom w:val="single" w:color="CCCCCC" w:sz="1"/>
              <w:right w:val="single" w:color="CCCCCC" w:sz="1"/>
            </w:tcBorders>
            <w:shd w:fill="F0FDF4" w:val="clear"/>
            <w:tcMar>
              <w:top w:type="dxa" w:w="100"/>
              <w:left w:type="dxa" w:w="100"/>
              <w:bottom w:type="dxa" w:w="100"/>
              <w:right w:type="dxa" w:w="100"/>
            </w:tcMar>
          </w:tcPr>
          <w:p>
            <w:pPr>
              <w:jc w:val="center"/>
            </w:pPr>
            <w:r>
              <w:rPr>
                <w:rFonts w:ascii="Calibri" w:cs="Calibri" w:eastAsia="Calibri" w:hAnsi="Calibri"/>
                <w:b/>
                <w:bCs/>
                <w:color w:val="057A55"/>
                <w:sz w:val="20"/>
                <w:szCs w:val="20"/>
              </w:rPr>
              <w:t xml:space="preserve">✔ Aktiv</w:t>
            </w:r>
          </w:p>
        </w:tc>
      </w:tr>
      <w:tr>
        <w:tc>
          <w:tcPr>
            <w:tcW w:type="dxa" w:w="1800"/>
            <w:tcBorders>
              <w:top w:val="single" w:color="CCCCCC" w:sz="1"/>
              <w:left w:val="single" w:color="CCCCCC" w:sz="1"/>
              <w:bottom w:val="single" w:color="CCCCCC" w:sz="1"/>
              <w:right w:val="single" w:color="CCCCCC" w:sz="1"/>
            </w:tcBorders>
            <w:shd w:fill="FFF4EC" w:val="clear"/>
            <w:tcMar>
              <w:top w:type="dxa" w:w="100"/>
              <w:left w:type="dxa" w:w="140"/>
              <w:bottom w:type="dxa" w:w="100"/>
              <w:right w:type="dxa" w:w="100"/>
            </w:tcMar>
          </w:tcPr>
          <w:p>
            <w:r>
              <w:rPr>
                <w:rFonts w:ascii="Courier New" w:cs="Courier New" w:eastAsia="Courier New" w:hAnsi="Courier New"/>
                <w:b/>
                <w:bCs/>
                <w:color w:val="1A1A2E"/>
                <w:sz w:val="21"/>
                <w:szCs w:val="21"/>
              </w:rPr>
              <w:t xml:space="preserve">02.08.2026</w:t>
            </w:r>
          </w:p>
        </w:tc>
        <w:tc>
          <w:tcPr>
            <w:tcW w:type="dxa" w:w="6026"/>
            <w:tcBorders>
              <w:top w:val="single" w:color="CCCCCC" w:sz="1"/>
              <w:left w:val="single" w:color="CCCCCC" w:sz="1"/>
              <w:bottom w:val="single" w:color="CCCCCC" w:sz="1"/>
              <w:right w:val="single" w:color="CCCCCC" w:sz="1"/>
            </w:tcBorders>
            <w:shd w:fill="FFF4EC" w:val="clear"/>
            <w:tcMar>
              <w:top w:type="dxa" w:w="100"/>
              <w:left w:type="dxa" w:w="140"/>
              <w:bottom w:type="dxa" w:w="100"/>
              <w:right w:type="dxa" w:w="100"/>
            </w:tcMar>
          </w:tcPr>
          <w:p>
            <w:r>
              <w:rPr>
                <w:rFonts w:ascii="Georgia" w:cs="Georgia" w:eastAsia="Georgia" w:hAnsi="Georgia"/>
                <w:color w:val="374151"/>
                <w:sz w:val="21"/>
                <w:szCs w:val="21"/>
              </w:rPr>
              <w:t xml:space="preserve">Kennzeichnungspflicht KI-Inhalte (Art. 50) + Hochrisiko-KI-Regeln</w:t>
            </w:r>
          </w:p>
        </w:tc>
        <w:tc>
          <w:tcPr>
            <w:tcW w:type="dxa" w:w="1200"/>
            <w:tcBorders>
              <w:top w:val="single" w:color="CCCCCC" w:sz="1"/>
              <w:left w:val="single" w:color="CCCCCC" w:sz="1"/>
              <w:bottom w:val="single" w:color="CCCCCC" w:sz="1"/>
              <w:right w:val="single" w:color="CCCCCC" w:sz="1"/>
            </w:tcBorders>
            <w:shd w:fill="FFF4EC" w:val="clear"/>
            <w:tcMar>
              <w:top w:type="dxa" w:w="100"/>
              <w:left w:type="dxa" w:w="100"/>
              <w:bottom w:type="dxa" w:w="100"/>
              <w:right w:type="dxa" w:w="100"/>
            </w:tcMar>
          </w:tcPr>
          <w:p>
            <w:pPr>
              <w:jc w:val="center"/>
            </w:pPr>
            <w:r>
              <w:rPr>
                <w:rFonts w:ascii="Calibri" w:cs="Calibri" w:eastAsia="Calibri" w:hAnsi="Calibri"/>
                <w:b/>
                <w:bCs/>
                <w:color w:val="E65C00"/>
                <w:sz w:val="20"/>
                <w:szCs w:val="20"/>
              </w:rPr>
              <w:t xml:space="preserve">⏳ Vorbereiten</w:t>
            </w:r>
          </w:p>
        </w:tc>
      </w:tr>
      <w:tr>
        <w:tc>
          <w:tcPr>
            <w:tcW w:type="dxa" w:w="1800"/>
            <w:tcBorders>
              <w:top w:val="single" w:color="CCCCCC" w:sz="1"/>
              <w:left w:val="single" w:color="CCCCCC" w:sz="1"/>
              <w:bottom w:val="single" w:color="CCCCCC" w:sz="1"/>
              <w:right w:val="single" w:color="CCCCCC" w:sz="1"/>
            </w:tcBorders>
            <w:shd w:fill="FFF4EC" w:val="clear"/>
            <w:tcMar>
              <w:top w:type="dxa" w:w="100"/>
              <w:left w:type="dxa" w:w="140"/>
              <w:bottom w:type="dxa" w:w="100"/>
              <w:right w:type="dxa" w:w="100"/>
            </w:tcMar>
          </w:tcPr>
          <w:p>
            <w:r>
              <w:rPr>
                <w:rFonts w:ascii="Courier New" w:cs="Courier New" w:eastAsia="Courier New" w:hAnsi="Courier New"/>
                <w:b/>
                <w:bCs/>
                <w:color w:val="1A1A2E"/>
                <w:sz w:val="21"/>
                <w:szCs w:val="21"/>
              </w:rPr>
              <w:t xml:space="preserve">02.08.2027</w:t>
            </w:r>
          </w:p>
        </w:tc>
        <w:tc>
          <w:tcPr>
            <w:tcW w:type="dxa" w:w="6026"/>
            <w:tcBorders>
              <w:top w:val="single" w:color="CCCCCC" w:sz="1"/>
              <w:left w:val="single" w:color="CCCCCC" w:sz="1"/>
              <w:bottom w:val="single" w:color="CCCCCC" w:sz="1"/>
              <w:right w:val="single" w:color="CCCCCC" w:sz="1"/>
            </w:tcBorders>
            <w:shd w:fill="FFF4EC" w:val="clear"/>
            <w:tcMar>
              <w:top w:type="dxa" w:w="100"/>
              <w:left w:type="dxa" w:w="140"/>
              <w:bottom w:type="dxa" w:w="100"/>
              <w:right w:type="dxa" w:w="100"/>
            </w:tcMar>
          </w:tcPr>
          <w:p>
            <w:r>
              <w:rPr>
                <w:rFonts w:ascii="Georgia" w:cs="Georgia" w:eastAsia="Georgia" w:hAnsi="Georgia"/>
                <w:color w:val="374151"/>
                <w:sz w:val="21"/>
                <w:szCs w:val="21"/>
              </w:rPr>
              <w:t xml:space="preserve">Hochrisiko-KI nach Anhang I (Medizin, Maschinen, Seilbahnen …)</w:t>
            </w:r>
          </w:p>
        </w:tc>
        <w:tc>
          <w:tcPr>
            <w:tcW w:type="dxa" w:w="1200"/>
            <w:tcBorders>
              <w:top w:val="single" w:color="CCCCCC" w:sz="1"/>
              <w:left w:val="single" w:color="CCCCCC" w:sz="1"/>
              <w:bottom w:val="single" w:color="CCCCCC" w:sz="1"/>
              <w:right w:val="single" w:color="CCCCCC" w:sz="1"/>
            </w:tcBorders>
            <w:shd w:fill="FFF4EC" w:val="clear"/>
            <w:tcMar>
              <w:top w:type="dxa" w:w="100"/>
              <w:left w:type="dxa" w:w="100"/>
              <w:bottom w:type="dxa" w:w="100"/>
              <w:right w:type="dxa" w:w="100"/>
            </w:tcMar>
          </w:tcPr>
          <w:p>
            <w:pPr>
              <w:jc w:val="center"/>
            </w:pPr>
            <w:r>
              <w:rPr>
                <w:rFonts w:ascii="Calibri" w:cs="Calibri" w:eastAsia="Calibri" w:hAnsi="Calibri"/>
                <w:b/>
                <w:bCs/>
                <w:color w:val="E65C00"/>
                <w:sz w:val="20"/>
                <w:szCs w:val="20"/>
              </w:rPr>
              <w:t xml:space="preserve">⏳ Vorbereiten</w:t>
            </w:r>
          </w:p>
        </w:tc>
      </w:tr>
    </w:tbl>
    <w:p>
      <w:pPr>
        <w:spacing w:after="240" w:before="0"/>
      </w:pPr>
    </w:p>
    <w:p>
      <w:pPr>
        <w:pStyle w:val="Heading2"/>
        <w:spacing w:after="160" w:before="400"/>
      </w:pPr>
      <w:r>
        <w:rPr>
          <w:rFonts w:ascii="Calibri" w:cs="Calibri" w:eastAsia="Calibri" w:hAnsi="Calibri"/>
          <w:b/>
          <w:bCs/>
          <w:color w:val="1A1A2E"/>
          <w:sz w:val="32"/>
          <w:szCs w:val="32"/>
        </w:rPr>
        <w:t xml:space="preserve">2. Was genau muss umgesetzt werden?</w:t>
      </w:r>
    </w:p>
    <w:p>
      <w:pPr>
        <w:spacing w:after="160" w:before="0" w:line="340" w:lineRule="auto"/>
        <w:jc w:val="both"/>
      </w:pPr>
      <w:r>
        <w:rPr>
          <w:rFonts w:ascii="Georgia" w:cs="Georgia" w:eastAsia="Georgia" w:hAnsi="Georgia"/>
          <w:color w:val="374151"/>
          <w:sz w:val="24"/>
          <w:szCs w:val="24"/>
        </w:rPr>
        <w:t xml:space="preserve">Der EU AI Act folgt einem risikobasierten Ansatz. Für die meisten WordPress-Betreiber sind vor allem die Transparenzpflichten nach Artikel 50 relevant — diese betreffen Systeme mit begrenztem Risiko, also etwa Chatbots und KI-generierte Inhalte.</w:t>
      </w:r>
    </w:p>
    <w:p>
      <w:pPr>
        <w:pStyle w:val="Heading3"/>
        <w:spacing w:after="120" w:before="280"/>
      </w:pPr>
      <w:r>
        <w:rPr>
          <w:rFonts w:ascii="Calibri" w:cs="Calibri" w:eastAsia="Calibri" w:hAnsi="Calibri"/>
          <w:b/>
          <w:bCs/>
          <w:color w:val="1A56DB"/>
          <w:sz w:val="26"/>
          <w:szCs w:val="26"/>
        </w:rPr>
        <w:t xml:space="preserve">2.1  Chatbot-Transparenzhinweis (Art. 50 Abs. 1)</w:t>
      </w:r>
    </w:p>
    <w:p>
      <w:pPr>
        <w:spacing w:after="160" w:before="0" w:line="340" w:lineRule="auto"/>
        <w:jc w:val="both"/>
      </w:pPr>
      <w:r>
        <w:rPr>
          <w:rFonts w:ascii="Georgia" w:cs="Georgia" w:eastAsia="Georgia" w:hAnsi="Georgia"/>
          <w:color w:val="374151"/>
          <w:sz w:val="24"/>
          <w:szCs w:val="24"/>
        </w:rPr>
        <w:t xml:space="preserve">Wenn ein KI-System in direkten Kontakt mit Menschen tritt — also ein Chatbot, virtueller Assistent oder automatisierter Support — müssen Nutzer von Beginn an klar und deutlich darüber informiert werden, dass sie mit einer KI kommunizieren und nicht mit einer echten Person.</w:t>
      </w:r>
    </w:p>
    <w:p>
      <w:pPr>
        <w:spacing w:after="160" w:before="0" w:line="340" w:lineRule="auto"/>
        <w:jc w:val="both"/>
      </w:pPr>
      <w:r>
        <w:rPr>
          <w:rFonts w:ascii="Georgia" w:cs="Georgia" w:eastAsia="Georgia" w:hAnsi="Georgia"/>
          <w:color w:val="374151"/>
          <w:sz w:val="24"/>
          <w:szCs w:val="24"/>
        </w:rPr>
        <w:t xml:space="preserve">Die Kennzeichnung muss zu Beginn der Interaktion erfolgen und barrierefrei wahrnehmbar sein. Ein kurzer, gut sichtbarer Hinweis wie 'Dieser Chat wird von einem KI-System beantwortet' erfuellt die Anforderung.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E65C00" w:sz="8"/>
              <w:bottom w:val="single" w:color="CCCCCC" w:sz="1"/>
              <w:right w:val="none" w:color="FFFFFF" w:sz="0"/>
            </w:tcBorders>
            <w:shd w:fill="FFF4EC" w:val="clear"/>
            <w:tcMar>
              <w:top w:type="dxa" w:w="140"/>
              <w:left w:type="dxa" w:w="180"/>
              <w:bottom w:type="dxa" w:w="140"/>
              <w:right w:type="dxa" w:w="80"/>
            </w:tcMar>
          </w:tcPr>
          <w:p>
            <w:r>
              <w:rPr>
                <w:sz w:val="28"/>
                <w:szCs w:val="28"/>
              </w:rPr>
              <w:t xml:space="preserve">⚠️</w:t>
            </w:r>
          </w:p>
        </w:tc>
        <w:tc>
          <w:tcPr>
            <w:tcW w:type="dxa" w:w="8426"/>
            <w:tcBorders>
              <w:top w:val="single" w:color="CCCCCC" w:sz="1"/>
              <w:left w:val="none" w:color="FFFFFF" w:sz="0"/>
              <w:bottom w:val="single" w:color="CCCCCC" w:sz="1"/>
              <w:right w:val="single" w:color="CCCCCC" w:sz="1"/>
            </w:tcBorders>
            <w:shd w:fill="FFF4EC" w:val="clear"/>
            <w:tcMar>
              <w:top w:type="dxa" w:w="140"/>
              <w:left w:type="dxa" w:w="140"/>
              <w:bottom w:type="dxa" w:w="140"/>
              <w:right w:type="dxa" w:w="200"/>
            </w:tcMar>
          </w:tcPr>
          <w:p>
            <w:pPr>
              <w:spacing w:after="80" w:before="0"/>
            </w:pPr>
            <w:r>
              <w:rPr>
                <w:rFonts w:ascii="Calibri" w:cs="Calibri" w:eastAsia="Calibri" w:hAnsi="Calibri"/>
                <w:b/>
                <w:bCs/>
                <w:color w:val="E65C00"/>
                <w:sz w:val="23"/>
                <w:szCs w:val="23"/>
              </w:rPr>
              <w:t xml:space="preserve">Wichtig</w:t>
            </w:r>
          </w:p>
          <w:p>
            <w:pPr>
              <w:spacing w:after="0" w:before="0" w:line="320" w:lineRule="auto"/>
            </w:pPr>
            <w:r>
              <w:rPr>
                <w:rFonts w:ascii="Georgia" w:cs="Georgia" w:eastAsia="Georgia" w:hAnsi="Georgia"/>
                <w:color w:val="374151"/>
                <w:sz w:val="22"/>
                <w:szCs w:val="22"/>
              </w:rPr>
              <w:t xml:space="preserve">Die Pflicht gilt unabhängig davon, ob der Chatbot von einem Drittanbieter (z. B. Tidio, Intercom, Crisp) bereitgestellt wird. Verantwortlich ist der Betreiber der Website — also du.</w:t>
            </w:r>
          </w:p>
        </w:tc>
      </w:tr>
    </w:tbl>
    <w:p>
      <w:pPr>
        <w:spacing w:after="200" w:before="0"/>
      </w:pPr>
    </w:p>
    <w:p>
      <w:pPr>
        <w:pStyle w:val="Heading3"/>
        <w:spacing w:after="120" w:before="280"/>
      </w:pPr>
      <w:r>
        <w:rPr>
          <w:rFonts w:ascii="Calibri" w:cs="Calibri" w:eastAsia="Calibri" w:hAnsi="Calibri"/>
          <w:b/>
          <w:bCs/>
          <w:color w:val="1A56DB"/>
          <w:sz w:val="26"/>
          <w:szCs w:val="26"/>
        </w:rPr>
        <w:t xml:space="preserve">2.2  Kennzeichnung KI-generierter Inhalte (Art. 50 Abs. 2)</w:t>
      </w:r>
    </w:p>
    <w:p>
      <w:pPr>
        <w:spacing w:after="160" w:before="0" w:line="340" w:lineRule="auto"/>
        <w:jc w:val="both"/>
      </w:pPr>
      <w:r>
        <w:rPr>
          <w:rFonts w:ascii="Georgia" w:cs="Georgia" w:eastAsia="Georgia" w:hAnsi="Georgia"/>
          <w:color w:val="374151"/>
          <w:sz w:val="24"/>
          <w:szCs w:val="24"/>
        </w:rPr>
        <w:t xml:space="preserve">Bilder, Videos, Audiodateien und Texte, die vollständig mit generativer KI erstellt wurden, müssen als solche gekennzeichnet werden. Die Kennzeichnung muss in zwei Formen erfolgen:</w:t>
      </w:r>
    </w:p>
    <w:p>
      <w:pPr>
        <w:pStyle w:val="ListParagraph"/>
        <w:numPr>
          <w:ilvl w:val="0"/>
          <w:numId w:val="2"/>
        </w:numPr>
        <w:spacing w:after="60" w:before="60" w:line="320" w:lineRule="auto"/>
      </w:pPr>
      <w:r>
        <w:rPr>
          <w:rFonts w:ascii="Georgia" w:cs="Georgia" w:eastAsia="Georgia" w:hAnsi="Georgia"/>
          <w:color w:val="374151"/>
          <w:sz w:val="23"/>
          <w:szCs w:val="23"/>
        </w:rPr>
        <w:t xml:space="preserve">Fuer Menschen sichtbar: Ein deutlich erkennbares Label, z. B. KI-generiert</w:t>
      </w:r>
    </w:p>
    <w:p>
      <w:pPr>
        <w:pStyle w:val="ListParagraph"/>
        <w:numPr>
          <w:ilvl w:val="0"/>
          <w:numId w:val="2"/>
        </w:numPr>
        <w:spacing w:after="60" w:before="60" w:line="320" w:lineRule="auto"/>
      </w:pPr>
      <w:r>
        <w:rPr>
          <w:rFonts w:ascii="Georgia" w:cs="Georgia" w:eastAsia="Georgia" w:hAnsi="Georgia"/>
          <w:color w:val="374151"/>
          <w:sz w:val="23"/>
          <w:szCs w:val="23"/>
        </w:rPr>
        <w:t xml:space="preserve">Maschinenlesbar: Technische Metadaten in der Datei (z. B. nach C2PA-Standard, EXIF oder IPTC)</w:t>
      </w:r>
    </w:p>
    <w:p>
      <w:pPr>
        <w:spacing w:after="120" w:before="0"/>
      </w:pPr>
    </w:p>
    <w:p>
      <w:pPr>
        <w:spacing w:after="160" w:before="0" w:line="340" w:lineRule="auto"/>
        <w:jc w:val="both"/>
      </w:pPr>
      <w:r>
        <w:rPr>
          <w:rFonts w:ascii="Georgia" w:cs="Georgia" w:eastAsia="Georgia" w:hAnsi="Georgia"/>
          <w:color w:val="374151"/>
          <w:sz w:val="24"/>
          <w:szCs w:val="24"/>
        </w:rPr>
        <w:t xml:space="preserve">Texte, die lediglich mit KI-Hilfe überarbeitet wurden — etwa durch Rechtschreibkorrektur oder sprachliche Glättung — unterliegen in der Regel keiner Kennzeichnungspflicht, sofern der Inhalt inhaltlich menschlich geprägt bleibt.</w:t>
      </w:r>
    </w:p>
    <w:p>
      <w:pPr>
        <w:pStyle w:val="Heading3"/>
        <w:spacing w:after="120" w:before="280"/>
      </w:pPr>
      <w:r>
        <w:rPr>
          <w:rFonts w:ascii="Calibri" w:cs="Calibri" w:eastAsia="Calibri" w:hAnsi="Calibri"/>
          <w:b/>
          <w:bCs/>
          <w:color w:val="1A56DB"/>
          <w:sz w:val="26"/>
          <w:szCs w:val="26"/>
        </w:rPr>
        <w:t xml:space="preserve">2.3  KI-Inventar und Datenschutzdokumentation</w:t>
      </w:r>
    </w:p>
    <w:p>
      <w:pPr>
        <w:spacing w:after="160" w:before="0" w:line="340" w:lineRule="auto"/>
        <w:jc w:val="both"/>
      </w:pPr>
      <w:r>
        <w:rPr>
          <w:rFonts w:ascii="Georgia" w:cs="Georgia" w:eastAsia="Georgia" w:hAnsi="Georgia"/>
          <w:color w:val="374151"/>
          <w:sz w:val="24"/>
          <w:szCs w:val="24"/>
        </w:rPr>
        <w:t xml:space="preserve">Parallel zum EU AI Act gilt die DSGVO weiterhin uneingeschränkt. Artikel 30 DSGVO verlangt ein Verzeichnis der Verarbeitungstätigkeiten. Dieses muss den Einsatz von KI-Tools explizit enthalten — also welche Systeme eingesetzt werden, zu welchem Zweck und welche personenbezogenen Daten dabei verarbeitet werden.</w:t>
      </w:r>
    </w:p>
    <w:p>
      <w:pPr>
        <w:spacing w:after="160" w:before="0" w:line="340" w:lineRule="auto"/>
        <w:jc w:val="both"/>
      </w:pPr>
      <w:r>
        <w:rPr>
          <w:rFonts w:ascii="Georgia" w:cs="Georgia" w:eastAsia="Georgia" w:hAnsi="Georgia"/>
          <w:color w:val="374151"/>
          <w:sz w:val="24"/>
          <w:szCs w:val="24"/>
        </w:rPr>
        <w:t xml:space="preserve">Praktisch bedeutet das: Eine Liste der eingesetzten KI-Tools (z. B. ChatGPT für Texterstellung, Midjourney für Bilder, Tidio als Chatbot-System) gehört in die Datenschutzerklärung und in interne Dokumentation.</w:t>
      </w:r>
    </w:p>
    <w:p>
      <w:pPr>
        <w:spacing w:after="240" w:before="0"/>
      </w:pPr>
    </w:p>
    <w:p>
      <w:pPr>
        <w:pStyle w:val="Heading2"/>
        <w:spacing w:after="160" w:before="400"/>
      </w:pPr>
      <w:r>
        <w:rPr>
          <w:rFonts w:ascii="Calibri" w:cs="Calibri" w:eastAsia="Calibri" w:hAnsi="Calibri"/>
          <w:b/>
          <w:bCs/>
          <w:color w:val="1A1A2E"/>
          <w:sz w:val="32"/>
          <w:szCs w:val="32"/>
        </w:rPr>
        <w:t xml:space="preserve">3. Was ist Hochrisiko-KI — und betrifft mich das?</w:t>
      </w:r>
    </w:p>
    <w:p>
      <w:pPr>
        <w:spacing w:after="160" w:before="0" w:line="340" w:lineRule="auto"/>
        <w:jc w:val="both"/>
      </w:pPr>
      <w:r>
        <w:rPr>
          <w:rFonts w:ascii="Georgia" w:cs="Georgia" w:eastAsia="Georgia" w:hAnsi="Georgia"/>
          <w:color w:val="374151"/>
          <w:sz w:val="24"/>
          <w:szCs w:val="24"/>
        </w:rPr>
        <w:t xml:space="preserve">Der EU AI Act unterscheidet vier Risikoklassen. Hochrisiko-KI-Systeme (Anhang III) betreffen spezialisierte Bereiche wie automatisierte Bewerberauswahl, Kreditwürdigkeitsprüfungen, Bildungsbewertungen oder Systeme in kritischen Infrastrukturen.</w:t>
      </w:r>
    </w:p>
    <w:p>
      <w:pPr>
        <w:spacing w:after="160" w:before="0" w:line="340" w:lineRule="auto"/>
        <w:jc w:val="both"/>
      </w:pPr>
      <w:r>
        <w:rPr>
          <w:rFonts w:ascii="Georgia" w:cs="Georgia" w:eastAsia="Georgia" w:hAnsi="Georgia"/>
          <w:color w:val="374151"/>
          <w:sz w:val="24"/>
          <w:szCs w:val="24"/>
        </w:rPr>
        <w:t xml:space="preserve">Für die meisten WordPress-Betreiber — Online-Shops, Dienstleister, Blogs, Berater, Agenturen — ist Hochrisiko-KI in der Regel nicht relevant. Ein KI-Chatbot im Kundenservice, KI-generierte Produktbilder oder KI-unterstützte Texte fallen nicht in diese Kategorie.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057A55" w:sz="8"/>
              <w:bottom w:val="single" w:color="CCCCCC" w:sz="1"/>
              <w:right w:val="none" w:color="FFFFFF" w:sz="0"/>
            </w:tcBorders>
            <w:shd w:fill="ECFDF3" w:val="clear"/>
            <w:tcMar>
              <w:top w:type="dxa" w:w="140"/>
              <w:left w:type="dxa" w:w="180"/>
              <w:bottom w:type="dxa" w:w="140"/>
              <w:right w:type="dxa" w:w="80"/>
            </w:tcMar>
          </w:tcPr>
          <w:p>
            <w:r>
              <w:rPr>
                <w:sz w:val="28"/>
                <w:szCs w:val="28"/>
              </w:rPr>
              <w:t xml:space="preserve">✅</w:t>
            </w:r>
          </w:p>
        </w:tc>
        <w:tc>
          <w:tcPr>
            <w:tcW w:type="dxa" w:w="8426"/>
            <w:tcBorders>
              <w:top w:val="single" w:color="CCCCCC" w:sz="1"/>
              <w:left w:val="none" w:color="FFFFFF" w:sz="0"/>
              <w:bottom w:val="single" w:color="CCCCCC" w:sz="1"/>
              <w:right w:val="single" w:color="CCCCCC" w:sz="1"/>
            </w:tcBorders>
            <w:shd w:fill="ECFDF3" w:val="clear"/>
            <w:tcMar>
              <w:top w:type="dxa" w:w="140"/>
              <w:left w:type="dxa" w:w="140"/>
              <w:bottom w:type="dxa" w:w="140"/>
              <w:right w:type="dxa" w:w="200"/>
            </w:tcMar>
          </w:tcPr>
          <w:p>
            <w:pPr>
              <w:spacing w:after="80" w:before="0"/>
            </w:pPr>
            <w:r>
              <w:rPr>
                <w:rFonts w:ascii="Calibri" w:cs="Calibri" w:eastAsia="Calibri" w:hAnsi="Calibri"/>
                <w:b/>
                <w:bCs/>
                <w:color w:val="057A55"/>
                <w:sz w:val="23"/>
                <w:szCs w:val="23"/>
              </w:rPr>
              <w:t xml:space="preserve">Für die Mehrheit der WordPress-Betreiber gilt</w:t>
            </w:r>
          </w:p>
          <w:p>
            <w:pPr>
              <w:spacing w:after="0" w:before="0" w:line="320" w:lineRule="auto"/>
            </w:pPr>
            <w:r>
              <w:rPr>
                <w:rFonts w:ascii="Georgia" w:cs="Georgia" w:eastAsia="Georgia" w:hAnsi="Georgia"/>
                <w:color w:val="374151"/>
                <w:sz w:val="22"/>
                <w:szCs w:val="22"/>
              </w:rPr>
              <w:t xml:space="preserve">Standard-Websites fallen in die Kategorie "begrenztes Risiko" oder "minimales Risiko". Die relevanten Pflichten beschränken sich auf Transparenzhinweise und Kennzeichnung — beides ist technisch einfach umsetzbar.</w:t>
            </w:r>
          </w:p>
        </w:tc>
      </w:tr>
    </w:tbl>
    <w:p>
      <w:pPr>
        <w:spacing w:after="240" w:before="0"/>
      </w:pPr>
    </w:p>
    <w:p>
      <w:pPr>
        <w:pStyle w:val="Heading2"/>
        <w:spacing w:after="160" w:before="400"/>
      </w:pPr>
      <w:r>
        <w:rPr>
          <w:rFonts w:ascii="Calibri" w:cs="Calibri" w:eastAsia="Calibri" w:hAnsi="Calibri"/>
          <w:b/>
          <w:bCs/>
          <w:color w:val="1A1A2E"/>
          <w:sz w:val="32"/>
          <w:szCs w:val="32"/>
        </w:rPr>
        <w:t xml:space="preserve">4. Schritt für Schritt: So setzt du den EU AI Act um</w:t>
      </w:r>
    </w:p>
    <w:p>
      <w:pPr>
        <w:spacing w:after="160" w:before="0" w:line="340" w:lineRule="auto"/>
        <w:jc w:val="both"/>
      </w:pPr>
      <w:r>
        <w:rPr>
          <w:rFonts w:ascii="Georgia" w:cs="Georgia" w:eastAsia="Georgia" w:hAnsi="Georgia"/>
          <w:color w:val="374151"/>
          <w:sz w:val="24"/>
          <w:szCs w:val="24"/>
        </w:rPr>
        <w:t xml:space="preserve">Die gute Nachricht: Für eine Standard-WordPress-Website ist die technische Umsetzung überschaubar. Die folgenden vier Schritte decken die wesentlichen Anforderungen ab.</w:t>
      </w:r>
    </w:p>
    <w:p>
      <w:pPr>
        <w:pStyle w:val="Heading3"/>
        <w:spacing w:after="120" w:before="280"/>
      </w:pPr>
      <w:r>
        <w:rPr>
          <w:rFonts w:ascii="Calibri" w:cs="Calibri" w:eastAsia="Calibri" w:hAnsi="Calibri"/>
          <w:b/>
          <w:bCs/>
          <w:color w:val="1A56DB"/>
          <w:sz w:val="26"/>
          <w:szCs w:val="26"/>
        </w:rPr>
        <w:t xml:space="preserve">Schritt 1: KI-Inventar erstellen</w:t>
      </w:r>
    </w:p>
    <w:p>
      <w:pPr>
        <w:spacing w:after="160" w:before="0" w:line="340" w:lineRule="auto"/>
        <w:jc w:val="both"/>
      </w:pPr>
      <w:r>
        <w:rPr>
          <w:rFonts w:ascii="Georgia" w:cs="Georgia" w:eastAsia="Georgia" w:hAnsi="Georgia"/>
          <w:color w:val="374151"/>
          <w:sz w:val="24"/>
          <w:szCs w:val="24"/>
        </w:rPr>
        <w:t xml:space="preserve">Schreibe auf, welche KI-Tools du einsetzt — auf deiner Website und in deinem Arbeitsprozess. Dazu gehören: Chatbots, KI-Bild-Generatoren, Textgeneratoren, KI-Plugins, KI-gestützte Analytics-Tools. Halte fest, zu welchem Zweck du sie nutzt und ob dabei personenbezogene Daten verarbeitet werden.</w:t>
      </w:r>
    </w:p>
    <w:p>
      <w:pPr>
        <w:pStyle w:val="Heading3"/>
        <w:spacing w:after="120" w:before="280"/>
      </w:pPr>
      <w:r>
        <w:rPr>
          <w:rFonts w:ascii="Calibri" w:cs="Calibri" w:eastAsia="Calibri" w:hAnsi="Calibri"/>
          <w:b/>
          <w:bCs/>
          <w:color w:val="1A56DB"/>
          <w:sz w:val="26"/>
          <w:szCs w:val="26"/>
        </w:rPr>
        <w:t xml:space="preserve">Schritt 2: Datenschutzerklärung aktualisieren</w:t>
      </w:r>
    </w:p>
    <w:p>
      <w:pPr>
        <w:spacing w:after="160" w:before="0" w:line="340" w:lineRule="auto"/>
        <w:jc w:val="both"/>
      </w:pPr>
      <w:r>
        <w:rPr>
          <w:rFonts w:ascii="Georgia" w:cs="Georgia" w:eastAsia="Georgia" w:hAnsi="Georgia"/>
          <w:color w:val="374151"/>
          <w:sz w:val="24"/>
          <w:szCs w:val="24"/>
        </w:rPr>
        <w:t xml:space="preserve">Ergänze deine Datenschutzerklärung um einen Abschnitt zum KI-Einsatz. Nenne die eingesetzten Tools, den Verarbeitungszweck und — falls personenbezogene Daten übertragen werden — den Anbieter und dessen Datenschutzbestimmungen.</w:t>
      </w:r>
    </w:p>
    <w:p>
      <w:pPr>
        <w:pStyle w:val="Heading3"/>
        <w:spacing w:after="120" w:before="280"/>
      </w:pPr>
      <w:r>
        <w:rPr>
          <w:rFonts w:ascii="Calibri" w:cs="Calibri" w:eastAsia="Calibri" w:hAnsi="Calibri"/>
          <w:b/>
          <w:bCs/>
          <w:color w:val="1A56DB"/>
          <w:sz w:val="26"/>
          <w:szCs w:val="26"/>
        </w:rPr>
        <w:t xml:space="preserve">Schritt 3: Chatbot-Hinweis implementieren</w:t>
      </w:r>
    </w:p>
    <w:p>
      <w:pPr>
        <w:spacing w:after="160" w:before="0" w:line="340" w:lineRule="auto"/>
        <w:jc w:val="both"/>
      </w:pPr>
      <w:r>
        <w:rPr>
          <w:rFonts w:ascii="Georgia" w:cs="Georgia" w:eastAsia="Georgia" w:hAnsi="Georgia"/>
          <w:color w:val="374151"/>
          <w:sz w:val="24"/>
          <w:szCs w:val="24"/>
        </w:rPr>
        <w:t xml:space="preserve">Falls du einen KI-Chatbot betreibst: Stelle sicher, dass Nutzer zu Beginn jeder Konversation klar erkennbar auf den KI-Charakter des Systems hingewiesen werden. Dieser Hinweis muss dauerhaft sichtbar und barrierefrei sein.</w:t>
      </w:r>
    </w:p>
    <w:p>
      <w:pPr>
        <w:pStyle w:val="Heading3"/>
        <w:spacing w:after="120" w:before="280"/>
      </w:pPr>
      <w:r>
        <w:rPr>
          <w:rFonts w:ascii="Calibri" w:cs="Calibri" w:eastAsia="Calibri" w:hAnsi="Calibri"/>
          <w:b/>
          <w:bCs/>
          <w:color w:val="1A56DB"/>
          <w:sz w:val="26"/>
          <w:szCs w:val="26"/>
        </w:rPr>
        <w:t xml:space="preserve">Schritt 4: KI-Inhalte kennzeichnen</w:t>
      </w:r>
    </w:p>
    <w:p>
      <w:pPr>
        <w:spacing w:after="160" w:before="0" w:line="340" w:lineRule="auto"/>
        <w:jc w:val="both"/>
      </w:pPr>
      <w:r>
        <w:rPr>
          <w:rFonts w:ascii="Georgia" w:cs="Georgia" w:eastAsia="Georgia" w:hAnsi="Georgia"/>
          <w:color w:val="374151"/>
          <w:sz w:val="24"/>
          <w:szCs w:val="24"/>
        </w:rPr>
        <w:t xml:space="preserve">Gehe deine Mediathek und veröffentlichten Beiträge durch. Markiere vollständig KI-generierte Bilder und Texte entsprechend. Etabliere im redaktionellen Prozess eine Routine, neue KI-Inhalte direkt bei der Erstellung zu kennzeichnen.</w:t>
      </w:r>
    </w:p>
    <w:p>
      <w:pPr>
        <w:spacing w:after="240" w:before="0"/>
      </w:pPr>
    </w:p>
    <w:p>
      <w:pPr>
        <w:pStyle w:val="Heading2"/>
        <w:spacing w:after="160" w:before="400"/>
      </w:pPr>
      <w:r>
        <w:rPr>
          <w:rFonts w:ascii="Calibri" w:cs="Calibri" w:eastAsia="Calibri" w:hAnsi="Calibri"/>
          <w:b/>
          <w:bCs/>
          <w:color w:val="1A1A2E"/>
          <w:sz w:val="32"/>
          <w:szCs w:val="32"/>
        </w:rPr>
        <w:t xml:space="preserve">5. Das kostenlose WordPress-Plugin</w:t>
      </w:r>
    </w:p>
    <w:p>
      <w:pPr>
        <w:spacing w:after="160" w:before="0" w:line="340" w:lineRule="auto"/>
        <w:jc w:val="both"/>
      </w:pPr>
      <w:r>
        <w:rPr>
          <w:rFonts w:ascii="Georgia" w:cs="Georgia" w:eastAsia="Georgia" w:hAnsi="Georgia"/>
          <w:color w:val="374151"/>
          <w:sz w:val="24"/>
          <w:szCs w:val="24"/>
        </w:rPr>
        <w:t xml:space="preserve">Um die technische Umsetzung zu vereinfachen, haben wir das Plugin "EU AI Act Compliance" für WordPress entwickelt. Es ist kostenlos und deckt alle wesentlichen Anforderungen für Standard-Websites ab.</w:t>
      </w:r>
    </w:p>
    <w:p>
      <w:pPr>
        <w:spacing w:after="160" w:before="0" w:line="340" w:lineRule="auto"/>
        <w:jc w:val="both"/>
      </w:pPr>
      <w:r>
        <w:rPr>
          <w:rFonts w:ascii="Georgia" w:cs="Georgia" w:eastAsia="Georgia" w:hAnsi="Georgia"/>
          <w:color w:val="374151"/>
          <w:sz w:val="24"/>
          <w:szCs w:val="24"/>
        </w:rPr>
        <w:t xml:space="preserve">Das Plugin bietet im Einzelnen:</w:t>
      </w:r>
    </w:p>
    <w:p>
      <w:pPr>
        <w:pStyle w:val="ListParagraph"/>
        <w:numPr>
          <w:ilvl w:val="0"/>
          <w:numId w:val="2"/>
        </w:numPr>
        <w:spacing w:after="60" w:before="60" w:line="320" w:lineRule="auto"/>
      </w:pPr>
      <w:r>
        <w:rPr>
          <w:rFonts w:ascii="Georgia" w:cs="Georgia" w:eastAsia="Georgia" w:hAnsi="Georgia"/>
          <w:b/>
          <w:bCs/>
          <w:color w:val="374151"/>
          <w:sz w:val="23"/>
          <w:szCs w:val="23"/>
        </w:rPr>
        <w:t xml:space="preserve">💬 </w:t>
      </w:r>
      <w:r>
        <w:rPr>
          <w:rFonts w:ascii="Georgia" w:cs="Georgia" w:eastAsia="Georgia" w:hAnsi="Georgia"/>
          <w:color w:val="374151"/>
          <w:sz w:val="23"/>
          <w:szCs w:val="23"/>
        </w:rPr>
        <w:t xml:space="preserve">Chatbot-Transparenzhinweis: Konfigurierbares Banner, das beim Öffnen des Chatbots erscheint — anpassbar in Text, Position und Farbe. Erkennt den Chatbot automatisch per CSS-Selektor.</w:t>
      </w:r>
    </w:p>
    <w:p>
      <w:pPr>
        <w:pStyle w:val="ListParagraph"/>
        <w:numPr>
          <w:ilvl w:val="0"/>
          <w:numId w:val="2"/>
        </w:numPr>
        <w:spacing w:after="60" w:before="60" w:line="320" w:lineRule="auto"/>
      </w:pPr>
      <w:r>
        <w:rPr>
          <w:rFonts w:ascii="Georgia" w:cs="Georgia" w:eastAsia="Georgia" w:hAnsi="Georgia"/>
          <w:b/>
          <w:bCs/>
          <w:color w:val="374151"/>
          <w:sz w:val="23"/>
          <w:szCs w:val="23"/>
        </w:rPr>
        <w:t xml:space="preserve">📝 </w:t>
      </w:r>
      <w:r>
        <w:rPr>
          <w:rFonts w:ascii="Georgia" w:cs="Georgia" w:eastAsia="Georgia" w:hAnsi="Georgia"/>
          <w:color w:val="374151"/>
          <w:sz w:val="23"/>
          <w:szCs w:val="23"/>
        </w:rPr>
        <w:t xml:space="preserve">KI-Texte kennzeichnen: Metabox im Beitrags-Editor — Checkbox setzen, fertig. Das Plugin fügt automatisch einen sichtbaren Badge ein.</w:t>
      </w:r>
    </w:p>
    <w:p>
      <w:pPr>
        <w:pStyle w:val="ListParagraph"/>
        <w:numPr>
          <w:ilvl w:val="0"/>
          <w:numId w:val="2"/>
        </w:numPr>
        <w:spacing w:after="60" w:before="60" w:line="320" w:lineRule="auto"/>
      </w:pPr>
      <w:r>
        <w:rPr>
          <w:rFonts w:ascii="Georgia" w:cs="Georgia" w:eastAsia="Georgia" w:hAnsi="Georgia"/>
          <w:b/>
          <w:bCs/>
          <w:color w:val="374151"/>
          <w:sz w:val="23"/>
          <w:szCs w:val="23"/>
        </w:rPr>
        <w:t xml:space="preserve">🖼️ </w:t>
      </w:r>
      <w:r>
        <w:rPr>
          <w:rFonts w:ascii="Georgia" w:cs="Georgia" w:eastAsia="Georgia" w:hAnsi="Georgia"/>
          <w:color w:val="374151"/>
          <w:sz w:val="23"/>
          <w:szCs w:val="23"/>
        </w:rPr>
        <w:t xml:space="preserve">KI-Bilder kennzeichnen: Neue Spalte in der Mediathek, Bulk-Aktion für mehrere Bilder gleichzeitig, automatisches Overlay-Badge auf der Website.</w:t>
      </w:r>
    </w:p>
    <w:p>
      <w:pPr>
        <w:pStyle w:val="ListParagraph"/>
        <w:numPr>
          <w:ilvl w:val="0"/>
          <w:numId w:val="2"/>
        </w:numPr>
        <w:spacing w:after="60" w:before="60" w:line="320" w:lineRule="auto"/>
      </w:pPr>
      <w:r>
        <w:rPr>
          <w:rFonts w:ascii="Georgia" w:cs="Georgia" w:eastAsia="Georgia" w:hAnsi="Georgia"/>
          <w:b/>
          <w:bCs/>
          <w:color w:val="374151"/>
          <w:sz w:val="23"/>
          <w:szCs w:val="23"/>
        </w:rPr>
        <w:t xml:space="preserve">📋 </w:t>
      </w:r>
      <w:r>
        <w:rPr>
          <w:rFonts w:ascii="Georgia" w:cs="Georgia" w:eastAsia="Georgia" w:hAnsi="Georgia"/>
          <w:color w:val="374151"/>
          <w:sz w:val="23"/>
          <w:szCs w:val="23"/>
        </w:rPr>
        <w:t xml:space="preserve">Compliance-Dashboard: Checkliste, Ampelstatus, Fristen-Timeline und fertiger Textbaustein für die Datenschutzerklärung.</w:t>
      </w:r>
    </w:p>
    <w:p>
      <w:pPr>
        <w:spacing w:after="20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1A56DB" w:sz="8"/>
              <w:bottom w:val="single" w:color="CCCCCC" w:sz="1"/>
              <w:right w:val="none" w:color="FFFFFF" w:sz="0"/>
            </w:tcBorders>
            <w:shd w:fill="EBF2FF" w:val="clear"/>
            <w:tcMar>
              <w:top w:type="dxa" w:w="140"/>
              <w:left w:type="dxa" w:w="180"/>
              <w:bottom w:type="dxa" w:w="140"/>
              <w:right w:type="dxa" w:w="80"/>
            </w:tcMar>
          </w:tcPr>
          <w:p>
            <w:r>
              <w:rPr>
                <w:sz w:val="28"/>
                <w:szCs w:val="28"/>
              </w:rPr>
              <w:t xml:space="preserve">🔗</w:t>
            </w:r>
          </w:p>
        </w:tc>
        <w:tc>
          <w:tcPr>
            <w:tcW w:type="dxa" w:w="8426"/>
            <w:tcBorders>
              <w:top w:val="single" w:color="CCCCCC" w:sz="1"/>
              <w:left w:val="none" w:color="FFFFFF" w:sz="0"/>
              <w:bottom w:val="single" w:color="CCCCCC" w:sz="1"/>
              <w:right w:val="single" w:color="CCCCCC" w:sz="1"/>
            </w:tcBorders>
            <w:shd w:fill="EBF2FF" w:val="clear"/>
            <w:tcMar>
              <w:top w:type="dxa" w:w="140"/>
              <w:left w:type="dxa" w:w="140"/>
              <w:bottom w:type="dxa" w:w="140"/>
              <w:right w:type="dxa" w:w="200"/>
            </w:tcMar>
          </w:tcPr>
          <w:p>
            <w:pPr>
              <w:spacing w:after="80" w:before="0"/>
            </w:pPr>
            <w:r>
              <w:rPr>
                <w:rFonts w:ascii="Calibri" w:cs="Calibri" w:eastAsia="Calibri" w:hAnsi="Calibri"/>
                <w:b/>
                <w:bCs/>
                <w:color w:val="1A56DB"/>
                <w:sz w:val="23"/>
                <w:szCs w:val="23"/>
              </w:rPr>
              <w:t xml:space="preserve">Plugin herunterladen</w:t>
            </w:r>
          </w:p>
          <w:p>
            <w:pPr>
              <w:spacing w:after="0" w:before="0" w:line="320" w:lineRule="auto"/>
            </w:pPr>
            <w:r>
              <w:rPr>
                <w:rFonts w:ascii="Georgia" w:cs="Georgia" w:eastAsia="Georgia" w:hAnsi="Georgia"/>
                <w:color w:val="374151"/>
                <w:sz w:val="22"/>
                <w:szCs w:val="22"/>
              </w:rPr>
              <w:t xml:space="preserve">Das Plugin "EU AI Act Compliance" ist kostenlos im WordPress-Plugin-Verzeichnis verfügbar. Suche nach "EU AI Act Compliance" oder besuche rmall.de für direkte Informationen und Support.</w:t>
            </w:r>
          </w:p>
        </w:tc>
      </w:tr>
    </w:tbl>
    <w:p>
      <w:pPr>
        <w:spacing w:after="240" w:before="0"/>
      </w:pPr>
    </w:p>
    <w:p>
      <w:pPr>
        <w:pStyle w:val="Heading2"/>
        <w:spacing w:after="160" w:before="400"/>
      </w:pPr>
      <w:r>
        <w:rPr>
          <w:rFonts w:ascii="Calibri" w:cs="Calibri" w:eastAsia="Calibri" w:hAnsi="Calibri"/>
          <w:b/>
          <w:bCs/>
          <w:color w:val="1A1A2E"/>
          <w:sz w:val="32"/>
          <w:szCs w:val="32"/>
        </w:rPr>
        <w:t xml:space="preserve">6. Checkliste: Deine EU AI Act To-Dos</w:t>
      </w:r>
    </w:p>
    <w:p>
      <w:pPr>
        <w:spacing w:after="160" w:before="0" w:line="340" w:lineRule="auto"/>
        <w:jc w:val="both"/>
      </w:pPr>
      <w:r>
        <w:rPr>
          <w:rFonts w:ascii="Georgia" w:cs="Georgia" w:eastAsia="Georgia" w:hAnsi="Georgia"/>
          <w:color w:val="374151"/>
          <w:sz w:val="24"/>
          <w:szCs w:val="24"/>
        </w:rPr>
        <w:t xml:space="preserve">Nutze diese Checkliste, um deinen aktuellen Compliance-Status zu prüfen:</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7526"/>
        <w:gridCol w:w="1000"/>
      </w:tblGrid>
      <w:tr>
        <w:tc>
          <w:tcPr>
            <w:tcW w:type="dxa" w:w="5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00"/>
            </w:tcMar>
          </w:tcPr>
          <w:p>
            <w:r>
              <w:rPr>
                <w:rFonts w:ascii="Calibri" w:cs="Calibri" w:eastAsia="Calibri" w:hAnsi="Calibri"/>
                <w:b/>
                <w:bCs/>
                <w:color w:val="FFFFFF"/>
                <w:sz w:val="21"/>
                <w:szCs w:val="21"/>
              </w:rPr>
              <w:t xml:space="preserve"/>
            </w:r>
          </w:p>
        </w:tc>
        <w:tc>
          <w:tcPr>
            <w:tcW w:type="dxa" w:w="7526"/>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00"/>
            </w:tcMar>
          </w:tcPr>
          <w:p>
            <w:r>
              <w:rPr>
                <w:rFonts w:ascii="Calibri" w:cs="Calibri" w:eastAsia="Calibri" w:hAnsi="Calibri"/>
                <w:b/>
                <w:bCs/>
                <w:color w:val="FFFFFF"/>
                <w:sz w:val="21"/>
                <w:szCs w:val="21"/>
              </w:rPr>
              <w:t xml:space="preserve">Maßnahme</w:t>
            </w:r>
          </w:p>
        </w:tc>
        <w:tc>
          <w:tcPr>
            <w:tcW w:type="dxa" w:w="10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00"/>
            </w:tcMar>
          </w:tcPr>
          <w:p>
            <w:r>
              <w:rPr>
                <w:rFonts w:ascii="Calibri" w:cs="Calibri" w:eastAsia="Calibri" w:hAnsi="Calibri"/>
                <w:b/>
                <w:bCs/>
                <w:color w:val="FFFFFF"/>
                <w:sz w:val="21"/>
                <w:szCs w:val="21"/>
              </w:rPr>
              <w:t xml:space="preserve">Priorität</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KI-Inventar erstellen: Alle eingesetzten KI-Tools dokumentieren</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Datenschutzerklärung um KI-Einsatz ergänzen (DSGVO Art. 30)</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Prüfen: Sind KI-Chatbots auf der Website vorhanden?</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Chatbot-Transparenzhinweis implementieren (Art. 50 Abs. 1)</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Bald</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KI-generierte Bilder in der Mediathek kennzeichnen</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Bald</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KI-generierte Texte und Beiträge mit Badge versehen</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Bald</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Compliance-Kontakt für KI-Anfragen benennen</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Bald</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Mitarbeiter zum Thema AI Literacy schulen (Art. 4)</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057A55"/>
                <w:sz w:val="20"/>
                <w:szCs w:val="20"/>
              </w:rPr>
              <w:t xml:space="preserve">Erledigt?</w:t>
            </w:r>
          </w:p>
        </w:tc>
      </w:tr>
      <w:tr>
        <w:tc>
          <w:tcPr>
            <w:tcW w:type="dxa" w:w="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sz w:val="22"/>
                <w:szCs w:val="22"/>
              </w:rPr>
              <w:t xml:space="preserve">☐</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Hochrisiko-KI-Systeme prüfen und dokumentieren (bis Aug. 2027)</w:t>
            </w:r>
          </w:p>
        </w:tc>
        <w:tc>
          <w:tcPr>
            <w:tcW w:type="dxa" w:w="10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Calibri" w:cs="Calibri" w:eastAsia="Calibri" w:hAnsi="Calibri"/>
                <w:b/>
                <w:bCs/>
                <w:color w:val="057A55"/>
                <w:sz w:val="20"/>
                <w:szCs w:val="20"/>
              </w:rPr>
              <w:t xml:space="preserve">Später</w:t>
            </w:r>
          </w:p>
        </w:tc>
      </w:tr>
    </w:tbl>
    <w:p>
      <w:pPr>
        <w:spacing w:after="240" w:before="0"/>
      </w:pPr>
    </w:p>
    <w:p>
      <w:pPr>
        <w:pStyle w:val="Heading2"/>
        <w:spacing w:after="160" w:before="400"/>
      </w:pPr>
      <w:r>
        <w:rPr>
          <w:rFonts w:ascii="Calibri" w:cs="Calibri" w:eastAsia="Calibri" w:hAnsi="Calibri"/>
          <w:b/>
          <w:bCs/>
          <w:color w:val="1A1A2E"/>
          <w:sz w:val="32"/>
          <w:szCs w:val="32"/>
        </w:rPr>
        <w:t xml:space="preserve">7. Häufige Fragen</w:t>
      </w:r>
    </w:p>
    <w:p>
      <w:pPr>
        <w:pStyle w:val="Heading3"/>
        <w:spacing w:after="120" w:before="280"/>
      </w:pPr>
      <w:r>
        <w:rPr>
          <w:rFonts w:ascii="Calibri" w:cs="Calibri" w:eastAsia="Calibri" w:hAnsi="Calibri"/>
          <w:b/>
          <w:bCs/>
          <w:color w:val="1A56DB"/>
          <w:sz w:val="26"/>
          <w:szCs w:val="26"/>
        </w:rPr>
        <w:t xml:space="preserve">Gilt der EU AI Act auch für Solopreneure und Freelancer?</w:t>
      </w:r>
    </w:p>
    <w:p>
      <w:pPr>
        <w:spacing w:after="160" w:before="0" w:line="340" w:lineRule="auto"/>
        <w:jc w:val="both"/>
      </w:pPr>
      <w:r>
        <w:rPr>
          <w:rFonts w:ascii="Georgia" w:cs="Georgia" w:eastAsia="Georgia" w:hAnsi="Georgia"/>
          <w:color w:val="374151"/>
          <w:sz w:val="24"/>
          <w:szCs w:val="24"/>
        </w:rPr>
        <w:t xml:space="preserve">Ja. Die Verordnung unterscheidet nicht nach Unternehmensgröße. Wer gewerblich KI einsetzt und dabei unter den Anwendungsbereich fällt, muss die entsprechenden Pflichten erfüllen. Für Kleinstunternehmen gibt es im überarbeiteten AI Omnibus (Mai 2026) einige Erleichterungen bei der Dokumentation — die Transparenzpflichten gelten jedoch uneingeschränkt.</w:t>
      </w:r>
    </w:p>
    <w:p>
      <w:pPr>
        <w:pStyle w:val="Heading3"/>
        <w:spacing w:after="120" w:before="280"/>
      </w:pPr>
      <w:r>
        <w:rPr>
          <w:rFonts w:ascii="Calibri" w:cs="Calibri" w:eastAsia="Calibri" w:hAnsi="Calibri"/>
          <w:b/>
          <w:bCs/>
          <w:color w:val="1A56DB"/>
          <w:sz w:val="26"/>
          <w:szCs w:val="26"/>
        </w:rPr>
        <w:t xml:space="preserve">Muss ich alle mit KI überarbeiteten Texte kennzeichnen?</w:t>
      </w:r>
    </w:p>
    <w:p>
      <w:pPr>
        <w:spacing w:after="160" w:before="0" w:line="340" w:lineRule="auto"/>
        <w:jc w:val="both"/>
      </w:pPr>
      <w:r>
        <w:rPr>
          <w:rFonts w:ascii="Georgia" w:cs="Georgia" w:eastAsia="Georgia" w:hAnsi="Georgia"/>
          <w:color w:val="374151"/>
          <w:sz w:val="24"/>
          <w:szCs w:val="24"/>
        </w:rPr>
        <w:t xml:space="preserve">Nein. Kennzeichnungspflichtig sind nur vollständig KI-generierte Inhalte. Wenn KI lediglich als Hilfsmittel eingesetzt wurde — etwa zur Rechtschreibkorrektur oder sprachlichen Überarbeitung eines inhaltlich menschlich verfassten Textes — besteht in der Regel keine Kennzeichnungspflicht.</w:t>
      </w:r>
    </w:p>
    <w:p>
      <w:pPr>
        <w:pStyle w:val="Heading3"/>
        <w:spacing w:after="120" w:before="280"/>
      </w:pPr>
      <w:r>
        <w:rPr>
          <w:rFonts w:ascii="Calibri" w:cs="Calibri" w:eastAsia="Calibri" w:hAnsi="Calibri"/>
          <w:b/>
          <w:bCs/>
          <w:color w:val="1A56DB"/>
          <w:sz w:val="26"/>
          <w:szCs w:val="26"/>
        </w:rPr>
        <w:t xml:space="preserve">Was passiert, wenn ich nichts tue?</w:t>
      </w:r>
    </w:p>
    <w:p>
      <w:pPr>
        <w:spacing w:after="160" w:before="0" w:line="340" w:lineRule="auto"/>
        <w:jc w:val="both"/>
      </w:pPr>
      <w:r>
        <w:rPr>
          <w:rFonts w:ascii="Georgia" w:cs="Georgia" w:eastAsia="Georgia" w:hAnsi="Georgia"/>
          <w:color w:val="374151"/>
          <w:sz w:val="24"/>
          <w:szCs w:val="24"/>
        </w:rPr>
        <w:t xml:space="preserve">Bei Verstößen gegen die Transparenz- und Kennzeichnungspflichten nach Artikel 50 drohen Bußgelder von bis zu 15 Millionen Euro oder 3 % des weltweiten Jahresumsatzes — je nachdem, welcher Betrag höher ist. Für kleine Unternehmen sind die tatsächlichen Bußgelder realistisch geringer, aber das Reputationsrisiko bei bekannt gewordenen Verstößen sollte nicht unterschätzt werden.</w:t>
      </w:r>
    </w:p>
    <w:p>
      <w:pPr>
        <w:pStyle w:val="Heading3"/>
        <w:spacing w:after="120" w:before="280"/>
      </w:pPr>
      <w:r>
        <w:rPr>
          <w:rFonts w:ascii="Calibri" w:cs="Calibri" w:eastAsia="Calibri" w:hAnsi="Calibri"/>
          <w:b/>
          <w:bCs/>
          <w:color w:val="1A56DB"/>
          <w:sz w:val="26"/>
          <w:szCs w:val="26"/>
        </w:rPr>
        <w:t xml:space="preserve">Reicht das Plugin für vollständige Compliance?</w:t>
      </w:r>
    </w:p>
    <w:p>
      <w:pPr>
        <w:spacing w:after="160" w:before="0" w:line="340" w:lineRule="auto"/>
        <w:jc w:val="both"/>
      </w:pPr>
      <w:r>
        <w:rPr>
          <w:rFonts w:ascii="Georgia" w:cs="Georgia" w:eastAsia="Georgia" w:hAnsi="Georgia"/>
          <w:color w:val="374151"/>
          <w:sz w:val="24"/>
          <w:szCs w:val="24"/>
        </w:rPr>
        <w:t xml:space="preserve">Das Plugin setzt die wesentlichen technischen Anforderungen für Standard-Websites um. Es ersetzt keine rechtliche Beratung. Wer umfangreich KI einsetzt oder unsicher ist, ob bestimmte Systeme als Hochrisiko-KI einzustufen sind, sollte einen auf IT-Recht spezialisierten Anwalt konsultieren.</w:t>
      </w:r>
    </w:p>
    <w:p>
      <w:pPr>
        <w:spacing w:after="240" w:before="0"/>
      </w:pPr>
    </w:p>
    <w:p>
      <w:pPr>
        <w:pStyle w:val="Heading2"/>
        <w:spacing w:after="160" w:before="400"/>
      </w:pPr>
      <w:r>
        <w:rPr>
          <w:rFonts w:ascii="Calibri" w:cs="Calibri" w:eastAsia="Calibri" w:hAnsi="Calibri"/>
          <w:b/>
          <w:bCs/>
          <w:color w:val="1A1A2E"/>
          <w:sz w:val="32"/>
          <w:szCs w:val="32"/>
        </w:rPr>
        <w:t xml:space="preserve">Fazit</w:t>
      </w:r>
    </w:p>
    <w:p>
      <w:pPr>
        <w:spacing w:after="160" w:before="0" w:line="340" w:lineRule="auto"/>
        <w:jc w:val="both"/>
      </w:pPr>
      <w:r>
        <w:rPr>
          <w:rFonts w:ascii="Georgia" w:cs="Georgia" w:eastAsia="Georgia" w:hAnsi="Georgia"/>
          <w:color w:val="374151"/>
          <w:sz w:val="24"/>
          <w:szCs w:val="24"/>
        </w:rPr>
        <w:t xml:space="preserve">Der EU AI Act ist keine abstrakte Bedrohung — er ist geltendes Recht mit konkreten Pflichten und klaren Fristen. Für die meisten WordPress-Betreiber ist der Aufwand zur Umsetzung jedoch überschaubar: Ein Chatbot-Hinweis, ein Badge auf KI-generierten Inhalten, eine aktualisierte Datenschutzerklärung.</w:t>
      </w:r>
    </w:p>
    <w:p>
      <w:pPr>
        <w:spacing w:after="160" w:before="0" w:line="340" w:lineRule="auto"/>
        <w:jc w:val="both"/>
      </w:pPr>
      <w:r>
        <w:rPr>
          <w:rFonts w:ascii="Georgia" w:cs="Georgia" w:eastAsia="Georgia" w:hAnsi="Georgia"/>
          <w:color w:val="374151"/>
          <w:sz w:val="24"/>
          <w:szCs w:val="24"/>
        </w:rPr>
        <w:t xml:space="preserve">Wer jetzt handelt, hat zwei wesentliche Vorteile: Erstens schützt er sich vor Bußgeldern und rechtlichen Risiken. Zweitens — und das ist mindestens genauso wertvoll — schafft er Vertrauen bei seinen Nutzern. In einer Zeit, in der KI-Inhalte zunehmend verbreitet sind, ist transparenter Umgang damit ein echter Wettbewerbsvorteil.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057A55" w:sz="8"/>
              <w:bottom w:val="single" w:color="CCCCCC" w:sz="1"/>
              <w:right w:val="none" w:color="FFFFFF" w:sz="0"/>
            </w:tcBorders>
            <w:shd w:fill="ECFDF3" w:val="clear"/>
            <w:tcMar>
              <w:top w:type="dxa" w:w="140"/>
              <w:left w:type="dxa" w:w="180"/>
              <w:bottom w:type="dxa" w:w="140"/>
              <w:right w:type="dxa" w:w="80"/>
            </w:tcMar>
          </w:tcPr>
          <w:p>
            <w:r>
              <w:rPr>
                <w:sz w:val="28"/>
                <w:szCs w:val="28"/>
              </w:rPr>
              <w:t xml:space="preserve">🚀</w:t>
            </w:r>
          </w:p>
        </w:tc>
        <w:tc>
          <w:tcPr>
            <w:tcW w:type="dxa" w:w="8426"/>
            <w:tcBorders>
              <w:top w:val="single" w:color="CCCCCC" w:sz="1"/>
              <w:left w:val="none" w:color="FFFFFF" w:sz="0"/>
              <w:bottom w:val="single" w:color="CCCCCC" w:sz="1"/>
              <w:right w:val="single" w:color="CCCCCC" w:sz="1"/>
            </w:tcBorders>
            <w:shd w:fill="ECFDF3" w:val="clear"/>
            <w:tcMar>
              <w:top w:type="dxa" w:w="140"/>
              <w:left w:type="dxa" w:w="140"/>
              <w:bottom w:type="dxa" w:w="140"/>
              <w:right w:type="dxa" w:w="200"/>
            </w:tcMar>
          </w:tcPr>
          <w:p>
            <w:pPr>
              <w:spacing w:after="80" w:before="0"/>
            </w:pPr>
            <w:r>
              <w:rPr>
                <w:rFonts w:ascii="Calibri" w:cs="Calibri" w:eastAsia="Calibri" w:hAnsi="Calibri"/>
                <w:b/>
                <w:bCs/>
                <w:color w:val="057A55"/>
                <w:sz w:val="23"/>
                <w:szCs w:val="23"/>
              </w:rPr>
              <w:t xml:space="preserve">Jetzt starten</w:t>
            </w:r>
          </w:p>
          <w:p>
            <w:pPr>
              <w:spacing w:after="0" w:before="0" w:line="320" w:lineRule="auto"/>
            </w:pPr>
            <w:r>
              <w:rPr>
                <w:rFonts w:ascii="Georgia" w:cs="Georgia" w:eastAsia="Georgia" w:hAnsi="Georgia"/>
                <w:color w:val="374151"/>
                <w:sz w:val="22"/>
                <w:szCs w:val="22"/>
              </w:rPr>
              <w:t xml:space="preserve">Lade das kostenlose Plugin "EU AI Act Compliance" für WordPress herunter, erstelle dein KI-Inventar und aktualisiere deine Datenschutzerklärung. Der Stichtag ist der 2. August 2026 — die Zeit ist da.</w:t>
            </w:r>
          </w:p>
        </w:tc>
      </w:tr>
    </w:tbl>
    <w:p>
      <w:pPr>
        <w:spacing w:after="400" w:before="0"/>
      </w:pPr>
    </w:p>
    <w:p>
      <w:pPr>
        <w:pBdr>
          <w:bottom w:val="single" w:color="CCCCCC" w:sz="4" w:space="1"/>
        </w:pBdr>
        <w:spacing w:after="240" w:before="0"/>
      </w:pPr>
    </w:p>
    <w:p>
      <w:pPr>
        <w:spacing w:after="80" w:before="0"/>
      </w:pPr>
      <w:r>
        <w:rPr>
          <w:rFonts w:ascii="Calibri" w:cs="Calibri" w:eastAsia="Calibri" w:hAnsi="Calibri"/>
          <w:b/>
          <w:bCs/>
          <w:color w:val="1A1A2E"/>
          <w:sz w:val="22"/>
          <w:szCs w:val="22"/>
        </w:rPr>
        <w:t xml:space="preserve">Über den Autor</w:t>
      </w:r>
    </w:p>
    <w:p>
      <w:pPr>
        <w:spacing w:after="160" w:before="0" w:line="340" w:lineRule="auto"/>
        <w:jc w:val="both"/>
      </w:pPr>
      <w:r>
        <w:rPr>
          <w:rFonts w:ascii="Georgia" w:cs="Georgia" w:eastAsia="Georgia" w:hAnsi="Georgia"/>
          <w:color w:val="374151"/>
          <w:sz w:val="24"/>
          <w:szCs w:val="24"/>
        </w:rPr>
        <w:t xml:space="preserve">Dieser Artikel wurde von rmall.de veröffentlicht. Wir entwickeln praktische Lösungen für WordPress-Betreiber rund um EU AI Act Compliance — von kostenlosen Plugins bis zu Beratung und Schulungen.</w:t>
      </w:r>
    </w:p>
    <w:p>
      <w:pPr>
        <w:spacing w:after="0" w:before="80"/>
      </w:pPr>
      <w:r>
        <w:rPr>
          <w:rFonts w:ascii="Calibri" w:cs="Calibri" w:eastAsia="Calibri" w:hAnsi="Calibri"/>
          <w:color w:val="6B7280"/>
          <w:sz w:val="20"/>
          <w:szCs w:val="20"/>
        </w:rPr>
        <w:t xml:space="preserve">rmall.de  ·  Fragen? </w:t>
      </w:r>
      <w:hyperlink w:history="1" r:id="rIdst4lwjnxtc1610zpqss3f">
        <w:r>
          <w:rPr>
            <w:rFonts w:ascii="Calibri" w:cs="Calibri" w:eastAsia="Calibri" w:hAnsi="Calibri"/>
            <w:color w:val="1A56DB"/>
            <w:sz w:val="20"/>
            <w:szCs w:val="20"/>
            <w:u w:val="single"/>
          </w:rPr>
          <w:t xml:space="preserve">rmall.de</w:t>
        </w:r>
      </w:hyperlink>
    </w:p>
    <w:p>
      <w:pPr>
        <w:spacing w:after="160" w:before="0"/>
      </w:pPr>
    </w:p>
    <w:p>
      <w:pPr>
        <w:spacing w:after="0" w:before="0"/>
      </w:pPr>
      <w:r>
        <w:rPr>
          <w:rFonts w:ascii="Calibri" w:cs="Calibri" w:eastAsia="Calibri" w:hAnsi="Calibri"/>
          <w:i/>
          <w:iCs/>
          <w:color w:val="6B7280"/>
          <w:sz w:val="18"/>
          <w:szCs w:val="18"/>
        </w:rPr>
        <w:t xml:space="preserve">⚖️ Rechtlicher Hinweis: Dieser Artikel dient der allgemeinen Information und ersetzt keine rechtliche Beratung. Für eine individuelle Compliance-Prüfung empfehlen wir einen auf IT-Recht spezialisierten Rechtsanwalt.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0" w:before="160"/>
      <w:jc w:val="right"/>
    </w:pPr>
    <w:r>
      <w:rPr>
        <w:rFonts w:ascii="Calibri" w:cs="Calibri" w:eastAsia="Calibri" w:hAnsi="Calibri"/>
        <w:color w:val="6B7280"/>
        <w:sz w:val="18"/>
        <w:szCs w:val="18"/>
      </w:rPr>
      <w:t xml:space="preserve">Seite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von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spacing w:after="200" w:before="0"/>
    </w:pPr>
    <w:r>
      <w:rPr>
        <w:rFonts w:ascii="Calibri" w:cs="Calibri" w:eastAsia="Calibri" w:hAnsi="Calibri"/>
        <w:color w:val="6B7280"/>
        <w:sz w:val="18"/>
        <w:szCs w:val="18"/>
      </w:rPr>
      <w:t xml:space="preserve">EU AI Act: Was WordPress-Betreiber bis August 2026 umsetzen müssen</w:t>
    </w:r>
    <w:r>
      <w:rPr>
        <w:rFonts w:ascii="Calibri" w:cs="Calibri" w:eastAsia="Calibri" w:hAnsi="Calibri"/>
        <w:color w:val="1A56DB"/>
        <w:sz w:val="18"/>
        <w:szCs w:val="18"/>
      </w:rPr>
      <w:t xml:space="preserve">  ·  rmall.de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74151"/>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Calibri" w:cs="Calibri" w:eastAsia="Calibri" w:hAnsi="Calibri"/>
      <w:b/>
      <w:bCs/>
      <w:color w:val="1A1A2E"/>
      <w:sz w:val="44"/>
      <w:szCs w:val="44"/>
    </w:rPr>
  </w:style>
  <w:style w:type="paragraph" w:styleId="Heading2">
    <w:name w:val="Heading 2"/>
    <w:basedOn w:val="Normal"/>
    <w:next w:val="Normal"/>
    <w:qFormat/>
    <w:pPr>
      <w:spacing w:after="160" w:before="400"/>
      <w:outlineLvl w:val="1"/>
    </w:pPr>
    <w:rPr>
      <w:rFonts w:ascii="Calibri" w:cs="Calibri" w:eastAsia="Calibri" w:hAnsi="Calibri"/>
      <w:b/>
      <w:bCs/>
      <w:color w:val="1A1A2E"/>
      <w:sz w:val="32"/>
      <w:szCs w:val="32"/>
    </w:rPr>
  </w:style>
  <w:style w:type="paragraph" w:styleId="Heading3">
    <w:name w:val="Heading 3"/>
    <w:basedOn w:val="Normal"/>
    <w:next w:val="Normal"/>
    <w:qFormat/>
    <w:pPr>
      <w:spacing w:after="120" w:before="280"/>
      <w:outlineLvl w:val="2"/>
    </w:pPr>
    <w:rPr>
      <w:rFonts w:ascii="Calibri" w:cs="Calibri" w:eastAsia="Calibri" w:hAnsi="Calibri"/>
      <w:b/>
      <w:bCs/>
      <w:color w:val="1A56D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st4lwjnxtc1610zpqss3f" Type="http://schemas.openxmlformats.org/officeDocument/2006/relationships/hyperlink" Target="https://rmall.de"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2026-05-16T04:37:07.212Z</dcterms:created>
  <dcterms:modified xsi:type="dcterms:W3CDTF">2026-05-16T04:37:07.212Z</dcterms:modified>
</cp:coreProperties>
</file>

<file path=docProps/custom.xml><?xml version="1.0" encoding="utf-8"?>
<Properties xmlns="http://schemas.openxmlformats.org/officeDocument/2006/custom-properties" xmlns:vt="http://schemas.openxmlformats.org/officeDocument/2006/docPropsVTypes"/>
</file>